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C20620" w14:textId="10B2B23C" w:rsidR="008F5A39" w:rsidRPr="001D0A61" w:rsidRDefault="005D0285" w:rsidP="002F50B9">
      <w:pPr>
        <w:spacing w:beforeLines="50" w:before="156" w:afterLines="50" w:after="156"/>
        <w:jc w:val="center"/>
        <w:rPr>
          <w:rFonts w:ascii="黑体" w:eastAsia="黑体" w:hAnsi="黑体"/>
          <w:sz w:val="30"/>
          <w:szCs w:val="30"/>
        </w:rPr>
      </w:pPr>
      <w:r w:rsidRPr="001D0A61">
        <w:rPr>
          <w:rFonts w:ascii="黑体" w:eastAsia="黑体" w:hAnsi="黑体" w:hint="eastAsia"/>
          <w:sz w:val="30"/>
          <w:szCs w:val="30"/>
        </w:rPr>
        <w:t>数字经济硕士专业学位研究生《数字经济专业基础》考试大纲</w:t>
      </w:r>
    </w:p>
    <w:p w14:paraId="0466220B" w14:textId="255EF833" w:rsidR="005D0285" w:rsidRDefault="005D0285">
      <w:pPr>
        <w:ind w:firstLine="420"/>
      </w:pPr>
      <w:r>
        <w:rPr>
          <w:rFonts w:hint="eastAsia"/>
        </w:rPr>
        <w:t>《数字经济专业基础》是数字经济硕士专业学位研究生的入学考试科目，《数字经济专业基础》考试大纲根据数字经济</w:t>
      </w:r>
      <w:r w:rsidRPr="005D0285">
        <w:rPr>
          <w:rFonts w:hint="eastAsia"/>
        </w:rPr>
        <w:t>硕士专业学位研究生的培养目标和了解考生对于</w:t>
      </w:r>
      <w:r>
        <w:rPr>
          <w:rFonts w:hint="eastAsia"/>
        </w:rPr>
        <w:t>数字经济学科相关知识的掌握程度而制定。</w:t>
      </w:r>
    </w:p>
    <w:p w14:paraId="7434FC01" w14:textId="7A26076F" w:rsidR="005D0285" w:rsidRDefault="005D0285">
      <w:pPr>
        <w:ind w:firstLine="420"/>
      </w:pPr>
      <w:r>
        <w:rPr>
          <w:rFonts w:hint="eastAsia"/>
        </w:rPr>
        <w:t>《数字经济专业基础》科目考试包含经济学原理和数字经济学，本科目满分为</w:t>
      </w:r>
      <w:r>
        <w:rPr>
          <w:rFonts w:hint="eastAsia"/>
        </w:rPr>
        <w:t>150</w:t>
      </w:r>
      <w:r>
        <w:rPr>
          <w:rFonts w:hint="eastAsia"/>
        </w:rPr>
        <w:t>分，其中，经济学原理</w:t>
      </w:r>
      <w:r>
        <w:rPr>
          <w:rFonts w:hint="eastAsia"/>
        </w:rPr>
        <w:t xml:space="preserve"> 100</w:t>
      </w:r>
      <w:r>
        <w:rPr>
          <w:rFonts w:hint="eastAsia"/>
        </w:rPr>
        <w:t>分，数字经济学部分</w:t>
      </w:r>
      <w:r>
        <w:rPr>
          <w:rFonts w:hint="eastAsia"/>
        </w:rPr>
        <w:t>50</w:t>
      </w:r>
      <w:r>
        <w:rPr>
          <w:rFonts w:hint="eastAsia"/>
        </w:rPr>
        <w:t>分。</w:t>
      </w:r>
    </w:p>
    <w:p w14:paraId="33F1886B" w14:textId="16A8FFA9" w:rsidR="005D0285" w:rsidRPr="001D0A61" w:rsidRDefault="005D0285" w:rsidP="002F50B9">
      <w:pPr>
        <w:pStyle w:val="a3"/>
        <w:numPr>
          <w:ilvl w:val="0"/>
          <w:numId w:val="5"/>
        </w:numPr>
        <w:spacing w:beforeLines="50" w:before="156" w:afterLines="50" w:after="156"/>
        <w:ind w:left="493" w:firstLineChars="0" w:hanging="493"/>
        <w:rPr>
          <w:rFonts w:ascii="黑体" w:eastAsia="黑体" w:hAnsi="黑体"/>
          <w:b/>
          <w:bCs/>
          <w:szCs w:val="24"/>
        </w:rPr>
      </w:pPr>
      <w:r w:rsidRPr="001D0A61">
        <w:rPr>
          <w:rFonts w:ascii="黑体" w:eastAsia="黑体" w:hAnsi="黑体" w:hint="eastAsia"/>
          <w:b/>
          <w:bCs/>
          <w:szCs w:val="24"/>
        </w:rPr>
        <w:t>经济学原理</w:t>
      </w:r>
    </w:p>
    <w:p w14:paraId="05D441F2" w14:textId="5EEA9797" w:rsidR="00143F4F" w:rsidRDefault="00143F4F" w:rsidP="001D0A61">
      <w:pPr>
        <w:ind w:firstLineChars="200" w:firstLine="480"/>
      </w:pPr>
      <w:r>
        <w:rPr>
          <w:rFonts w:hint="eastAsia"/>
        </w:rPr>
        <w:t>参考书目：</w:t>
      </w:r>
      <w:r w:rsidRPr="00143F4F">
        <w:rPr>
          <w:rFonts w:hint="eastAsia"/>
        </w:rPr>
        <w:t>《</w:t>
      </w:r>
      <w:r w:rsidR="005639CA">
        <w:rPr>
          <w:rFonts w:hint="eastAsia"/>
        </w:rPr>
        <w:t>经济学导论</w:t>
      </w:r>
      <w:r w:rsidRPr="00143F4F">
        <w:rPr>
          <w:rFonts w:hint="eastAsia"/>
        </w:rPr>
        <w:t>》</w:t>
      </w:r>
      <w:r>
        <w:rPr>
          <w:rFonts w:hint="eastAsia"/>
        </w:rPr>
        <w:t>，</w:t>
      </w:r>
      <w:r w:rsidR="002561EC">
        <w:rPr>
          <w:rFonts w:hint="eastAsia"/>
        </w:rPr>
        <w:t>徐丹</w:t>
      </w:r>
      <w:proofErr w:type="gramStart"/>
      <w:r w:rsidR="002561EC">
        <w:rPr>
          <w:rFonts w:hint="eastAsia"/>
        </w:rPr>
        <w:t>丹</w:t>
      </w:r>
      <w:proofErr w:type="gramEnd"/>
      <w:r w:rsidR="002561EC">
        <w:rPr>
          <w:rFonts w:hint="eastAsia"/>
        </w:rPr>
        <w:t xml:space="preserve"> </w:t>
      </w:r>
      <w:r w:rsidR="002561EC">
        <w:rPr>
          <w:rFonts w:hint="eastAsia"/>
        </w:rPr>
        <w:t>徐秋慧，</w:t>
      </w:r>
      <w:r w:rsidR="005639CA" w:rsidRPr="005639CA">
        <w:rPr>
          <w:rFonts w:hint="eastAsia"/>
        </w:rPr>
        <w:t>工业机械出版社，第</w:t>
      </w:r>
      <w:r w:rsidR="005639CA" w:rsidRPr="005639CA">
        <w:rPr>
          <w:rFonts w:hint="eastAsia"/>
        </w:rPr>
        <w:t>1</w:t>
      </w:r>
      <w:r w:rsidR="005639CA" w:rsidRPr="005639CA">
        <w:rPr>
          <w:rFonts w:hint="eastAsia"/>
        </w:rPr>
        <w:t>版，</w:t>
      </w:r>
      <w:r w:rsidR="005639CA" w:rsidRPr="005639CA">
        <w:rPr>
          <w:rFonts w:hint="eastAsia"/>
        </w:rPr>
        <w:t>2019</w:t>
      </w:r>
      <w:r w:rsidR="005639CA" w:rsidRPr="005639CA">
        <w:rPr>
          <w:rFonts w:hint="eastAsia"/>
        </w:rPr>
        <w:t>年版</w:t>
      </w:r>
      <w:r w:rsidR="002F50B9">
        <w:rPr>
          <w:rFonts w:hint="eastAsia"/>
        </w:rPr>
        <w:t>。</w:t>
      </w:r>
    </w:p>
    <w:p w14:paraId="2A628772" w14:textId="66EEE890" w:rsidR="00143F4F" w:rsidRPr="001D0A61" w:rsidRDefault="00E77EAD" w:rsidP="001D0A61">
      <w:pPr>
        <w:spacing w:beforeLines="50" w:before="156" w:afterLines="50" w:after="156"/>
        <w:rPr>
          <w:b/>
          <w:bCs/>
        </w:rPr>
      </w:pPr>
      <w:r w:rsidRPr="001D0A61">
        <w:rPr>
          <w:rFonts w:hint="eastAsia"/>
          <w:b/>
          <w:bCs/>
        </w:rPr>
        <w:t>（一）</w:t>
      </w:r>
      <w:r w:rsidR="00143F4F" w:rsidRPr="001D0A61">
        <w:rPr>
          <w:rFonts w:hint="eastAsia"/>
          <w:b/>
          <w:bCs/>
        </w:rPr>
        <w:t>需求</w:t>
      </w:r>
      <w:r w:rsidR="001C766C" w:rsidRPr="001D0A61">
        <w:rPr>
          <w:rFonts w:hint="eastAsia"/>
          <w:b/>
          <w:bCs/>
        </w:rPr>
        <w:t>与供给</w:t>
      </w:r>
    </w:p>
    <w:p w14:paraId="7ABEE076" w14:textId="6492E34C" w:rsidR="00F1345D" w:rsidRDefault="006613DB" w:rsidP="00143F4F">
      <w:pPr>
        <w:ind w:firstLineChars="200" w:firstLine="480"/>
        <w:rPr>
          <w:rFonts w:hAnsi="宋体"/>
        </w:rPr>
      </w:pPr>
      <w:r>
        <w:rPr>
          <w:rFonts w:hAnsi="宋体" w:hint="eastAsia"/>
        </w:rPr>
        <w:t>主要内容：需求影响因素，需求量与价格关系；供给影响因素，供给量与价格关系；均衡价格的形成</w:t>
      </w:r>
      <w:r>
        <w:rPr>
          <w:rFonts w:hAnsi="宋体" w:hint="eastAsia"/>
        </w:rPr>
        <w:t>，</w:t>
      </w:r>
      <w:r>
        <w:rPr>
          <w:rFonts w:hAnsi="宋体" w:hint="eastAsia"/>
        </w:rPr>
        <w:t>均衡价格的含义，均衡定理；需求价格弹性</w:t>
      </w:r>
      <w:r>
        <w:rPr>
          <w:rFonts w:hAnsi="宋体" w:hint="eastAsia"/>
        </w:rPr>
        <w:t>、</w:t>
      </w:r>
      <w:r>
        <w:rPr>
          <w:rFonts w:hAnsi="宋体" w:hint="eastAsia"/>
        </w:rPr>
        <w:t>供给价格弹性</w:t>
      </w:r>
      <w:r>
        <w:rPr>
          <w:rFonts w:hAnsi="宋体" w:hint="eastAsia"/>
        </w:rPr>
        <w:t>、</w:t>
      </w:r>
      <w:r>
        <w:rPr>
          <w:rFonts w:hAnsi="宋体" w:hint="eastAsia"/>
        </w:rPr>
        <w:t>需求的交叉弹性</w:t>
      </w:r>
      <w:r>
        <w:rPr>
          <w:rFonts w:hAnsi="宋体" w:hint="eastAsia"/>
        </w:rPr>
        <w:t>的计算和含义</w:t>
      </w:r>
      <w:r>
        <w:rPr>
          <w:rFonts w:hAnsi="宋体" w:hint="eastAsia"/>
        </w:rPr>
        <w:t>；需求价格弹性与总收益的关系</w:t>
      </w:r>
      <w:r>
        <w:rPr>
          <w:rFonts w:hAnsi="宋体" w:hint="eastAsia"/>
        </w:rPr>
        <w:t>，</w:t>
      </w:r>
      <w:r>
        <w:rPr>
          <w:rFonts w:hAnsi="宋体" w:hint="eastAsia"/>
        </w:rPr>
        <w:t>影响需求价格弹性的因素</w:t>
      </w:r>
      <w:r>
        <w:rPr>
          <w:rFonts w:hAnsi="宋体" w:hint="eastAsia"/>
        </w:rPr>
        <w:t>；</w:t>
      </w:r>
      <w:r>
        <w:rPr>
          <w:rFonts w:hAnsi="宋体" w:hint="eastAsia"/>
        </w:rPr>
        <w:t>市场中的政府干预</w:t>
      </w:r>
      <w:r>
        <w:rPr>
          <w:rFonts w:hAnsi="宋体" w:hint="eastAsia"/>
        </w:rPr>
        <w:t>，</w:t>
      </w:r>
      <w:r>
        <w:rPr>
          <w:rFonts w:hAnsi="宋体" w:hint="eastAsia"/>
        </w:rPr>
        <w:t>最高限价、最低限价以及销售税的含义及影响。</w:t>
      </w:r>
    </w:p>
    <w:p w14:paraId="283D48CE" w14:textId="59E46DAE" w:rsidR="00143F4F" w:rsidRPr="001D0A61" w:rsidRDefault="00E77EAD" w:rsidP="001D0A61">
      <w:pPr>
        <w:spacing w:beforeLines="50" w:before="156" w:afterLines="50" w:after="156"/>
        <w:rPr>
          <w:b/>
          <w:bCs/>
        </w:rPr>
      </w:pPr>
      <w:r w:rsidRPr="001D0A61">
        <w:rPr>
          <w:rFonts w:hint="eastAsia"/>
          <w:b/>
          <w:bCs/>
        </w:rPr>
        <w:t>（二）</w:t>
      </w:r>
      <w:r w:rsidR="001C766C" w:rsidRPr="001D0A61">
        <w:rPr>
          <w:rFonts w:hint="eastAsia"/>
          <w:b/>
          <w:bCs/>
        </w:rPr>
        <w:t>消费者行为理论</w:t>
      </w:r>
    </w:p>
    <w:p w14:paraId="1D36C722" w14:textId="29D695F0" w:rsidR="00143F4F" w:rsidRDefault="006613DB" w:rsidP="00143F4F">
      <w:pPr>
        <w:ind w:firstLineChars="200" w:firstLine="480"/>
      </w:pPr>
      <w:r>
        <w:rPr>
          <w:rFonts w:hint="eastAsia"/>
        </w:rPr>
        <w:t>主要内容</w:t>
      </w:r>
      <w:r>
        <w:rPr>
          <w:rFonts w:hint="eastAsia"/>
        </w:rPr>
        <w:t>：预算</w:t>
      </w:r>
      <w:proofErr w:type="gramStart"/>
      <w:r>
        <w:rPr>
          <w:rFonts w:hint="eastAsia"/>
        </w:rPr>
        <w:t>约束线</w:t>
      </w:r>
      <w:proofErr w:type="gramEnd"/>
      <w:r>
        <w:rPr>
          <w:rFonts w:hint="eastAsia"/>
        </w:rPr>
        <w:t>的含义及其变动；基数效用与序数效用的区别；边际效用的含义，边际效用与总效用关系，边际效用递减规律；基数</w:t>
      </w:r>
      <w:proofErr w:type="gramStart"/>
      <w:r>
        <w:rPr>
          <w:rFonts w:hint="eastAsia"/>
        </w:rPr>
        <w:t>效用论下的</w:t>
      </w:r>
      <w:proofErr w:type="gramEnd"/>
      <w:r>
        <w:rPr>
          <w:rFonts w:hint="eastAsia"/>
        </w:rPr>
        <w:t>消费者均衡；消费者剩余；偏好的含义及其假定；无差异曲线及其特点；商品的边际替代率的含义；</w:t>
      </w:r>
      <w:r>
        <w:rPr>
          <w:rFonts w:hint="eastAsia"/>
        </w:rPr>
        <w:t>序数</w:t>
      </w:r>
      <w:proofErr w:type="gramStart"/>
      <w:r>
        <w:rPr>
          <w:rFonts w:hint="eastAsia"/>
        </w:rPr>
        <w:t>效用论下的</w:t>
      </w:r>
      <w:proofErr w:type="gramEnd"/>
      <w:r>
        <w:rPr>
          <w:rFonts w:hint="eastAsia"/>
        </w:rPr>
        <w:t>消费者均衡；根据消费者均衡条件推导需求曲线；替代效应与收入效应的含义。</w:t>
      </w:r>
    </w:p>
    <w:p w14:paraId="342B5E67" w14:textId="03450ED6" w:rsidR="00143F4F" w:rsidRPr="001D0A61" w:rsidRDefault="00E77EAD" w:rsidP="001D0A61">
      <w:pPr>
        <w:spacing w:beforeLines="50" w:before="156" w:afterLines="50" w:after="156"/>
        <w:rPr>
          <w:b/>
          <w:bCs/>
        </w:rPr>
      </w:pPr>
      <w:r w:rsidRPr="001D0A61">
        <w:rPr>
          <w:rFonts w:hint="eastAsia"/>
          <w:b/>
          <w:bCs/>
        </w:rPr>
        <w:t>（三）</w:t>
      </w:r>
      <w:r w:rsidR="001C766C" w:rsidRPr="001D0A61">
        <w:rPr>
          <w:rFonts w:hint="eastAsia"/>
          <w:b/>
          <w:bCs/>
        </w:rPr>
        <w:t>生产者行为理论</w:t>
      </w:r>
    </w:p>
    <w:p w14:paraId="556D0BDF" w14:textId="2760B840" w:rsidR="001C766C" w:rsidRDefault="00143F4F" w:rsidP="00143F4F">
      <w:pPr>
        <w:ind w:firstLineChars="200" w:firstLine="480"/>
      </w:pPr>
      <w:r w:rsidRPr="00143F4F">
        <w:rPr>
          <w:rFonts w:hint="eastAsia"/>
        </w:rPr>
        <w:t>主要内容：</w:t>
      </w:r>
      <w:r w:rsidR="003340C0">
        <w:rPr>
          <w:rFonts w:ascii="宋体" w:hAnsi="宋体" w:hint="eastAsia"/>
        </w:rPr>
        <w:t>企业本质与目标；生产函数含义，生产函数的主要形式；短期生产函数与长期生产函数的区别；总产量、平均产量、边际产量的关系；边际报酬递减规律；最优生产要素组合的原则；规模报酬不变、递减和递增的含义；短期</w:t>
      </w:r>
      <w:r w:rsidR="003340C0">
        <w:rPr>
          <w:rFonts w:ascii="宋体" w:hAnsi="宋体" w:hint="eastAsia"/>
        </w:rPr>
        <w:lastRenderedPageBreak/>
        <w:t>成本的分类；总成本、边际成本、平均成本之间的关系；各种短期成本曲线形状；长期成本；长期平均成本和短期平均成本的关系；长期内的规模经济。</w:t>
      </w:r>
    </w:p>
    <w:p w14:paraId="715FC0F6" w14:textId="23C686E0" w:rsidR="00143F4F" w:rsidRPr="001D0A61" w:rsidRDefault="00E77EAD" w:rsidP="001D0A61">
      <w:pPr>
        <w:spacing w:beforeLines="50" w:before="156" w:afterLines="50" w:after="156"/>
        <w:rPr>
          <w:b/>
          <w:bCs/>
        </w:rPr>
      </w:pPr>
      <w:r w:rsidRPr="001D0A61">
        <w:rPr>
          <w:rFonts w:hint="eastAsia"/>
          <w:b/>
          <w:bCs/>
        </w:rPr>
        <w:t>（四）</w:t>
      </w:r>
      <w:r w:rsidR="001C766C" w:rsidRPr="001D0A61">
        <w:rPr>
          <w:rFonts w:hint="eastAsia"/>
          <w:b/>
          <w:bCs/>
        </w:rPr>
        <w:t>市场理论</w:t>
      </w:r>
    </w:p>
    <w:p w14:paraId="34E73AD0" w14:textId="6B3CA9CC" w:rsidR="00143F4F" w:rsidRDefault="00143F4F" w:rsidP="00143F4F">
      <w:pPr>
        <w:ind w:firstLineChars="200" w:firstLine="480"/>
      </w:pPr>
      <w:r>
        <w:rPr>
          <w:rFonts w:hint="eastAsia"/>
        </w:rPr>
        <w:t>主要内容：</w:t>
      </w:r>
      <w:r w:rsidR="00C528AA">
        <w:rPr>
          <w:rFonts w:ascii="宋体" w:hAnsi="宋体" w:hint="eastAsia"/>
        </w:rPr>
        <w:t>完全竞争市场、完全垄断市场、垄断竞争市场和寡头市场的特征；</w:t>
      </w:r>
      <w:r w:rsidR="00C528AA">
        <w:rPr>
          <w:rFonts w:hint="eastAsia"/>
        </w:rPr>
        <w:t>完全竞争市场的需求曲线、收益曲线的含义及特点；完全竞争市场厂商的利润最大化条件；完全竞争市场的短期均衡、短期供给曲线，</w:t>
      </w:r>
      <w:r w:rsidR="00C528AA">
        <w:rPr>
          <w:rFonts w:ascii="宋体" w:hAnsi="宋体" w:hint="eastAsia"/>
        </w:rPr>
        <w:t>供给曲线的推导和生产者剩余；</w:t>
      </w:r>
      <w:r w:rsidR="00C528AA">
        <w:rPr>
          <w:rFonts w:hint="eastAsia"/>
        </w:rPr>
        <w:t>完全竞争市场的长期均衡；</w:t>
      </w:r>
      <w:r w:rsidR="00C528AA">
        <w:rPr>
          <w:rFonts w:ascii="宋体" w:hAnsi="宋体" w:hint="eastAsia"/>
        </w:rPr>
        <w:t>完全垄断市场形成的原因，垄断市场上厂商的产量和价格决策和价格歧视的三种类型；垄断竞争市场的特征，垄断竞争厂商的价格和产量和非价格竞争手段；寡头市场的特征和寡头博弈。</w:t>
      </w:r>
    </w:p>
    <w:p w14:paraId="7578D4A7" w14:textId="58883D7B" w:rsidR="00143F4F" w:rsidRPr="001D0A61" w:rsidRDefault="00E77EAD" w:rsidP="001D0A61">
      <w:pPr>
        <w:spacing w:beforeLines="50" w:before="156" w:afterLines="50" w:after="156"/>
        <w:rPr>
          <w:b/>
          <w:bCs/>
        </w:rPr>
      </w:pPr>
      <w:r w:rsidRPr="001D0A61">
        <w:rPr>
          <w:rFonts w:hint="eastAsia"/>
          <w:b/>
          <w:bCs/>
        </w:rPr>
        <w:t>（五）</w:t>
      </w:r>
      <w:r w:rsidR="001C766C" w:rsidRPr="001D0A61">
        <w:rPr>
          <w:rFonts w:hint="eastAsia"/>
          <w:b/>
          <w:bCs/>
        </w:rPr>
        <w:t>经济效率与政府的作用</w:t>
      </w:r>
    </w:p>
    <w:p w14:paraId="6CEFFA3E" w14:textId="00915F14" w:rsidR="001C766C" w:rsidRPr="001D0A61" w:rsidRDefault="00143F4F" w:rsidP="0031403D">
      <w:pPr>
        <w:ind w:firstLineChars="200" w:firstLine="472"/>
        <w:rPr>
          <w:spacing w:val="-2"/>
        </w:rPr>
      </w:pPr>
      <w:r w:rsidRPr="001D0A61">
        <w:rPr>
          <w:rFonts w:hint="eastAsia"/>
          <w:spacing w:val="-2"/>
        </w:rPr>
        <w:t>主要内容：</w:t>
      </w:r>
      <w:r w:rsidR="008F6EC8" w:rsidRPr="001D0A61">
        <w:rPr>
          <w:rFonts w:ascii="宋体" w:hAnsi="宋体" w:hint="eastAsia"/>
          <w:spacing w:val="-2"/>
        </w:rPr>
        <w:t>竞争市场的效率和垄断厂商的效率；政府对垄断的规制；外部影响的含义及分类；外部性与低效率以及外部性的解决方案；公共物品的特点以及公共物品与经济微观政策；信息不完全与不对称的含义；逆向选择；道德风险。</w:t>
      </w:r>
    </w:p>
    <w:p w14:paraId="6BF3FBA8" w14:textId="185CB687" w:rsidR="0031403D" w:rsidRPr="001D0A61" w:rsidRDefault="0031403D" w:rsidP="001D0A61">
      <w:pPr>
        <w:spacing w:beforeLines="50" w:before="156" w:afterLines="50" w:after="156"/>
        <w:rPr>
          <w:b/>
          <w:bCs/>
        </w:rPr>
      </w:pPr>
      <w:r w:rsidRPr="001D0A61">
        <w:rPr>
          <w:rFonts w:hint="eastAsia"/>
          <w:b/>
          <w:bCs/>
        </w:rPr>
        <w:t>（六）</w:t>
      </w:r>
      <w:r w:rsidRPr="001D0A61">
        <w:rPr>
          <w:rFonts w:hint="eastAsia"/>
          <w:b/>
          <w:bCs/>
        </w:rPr>
        <w:t>GDP:</w:t>
      </w:r>
      <w:r w:rsidRPr="001D0A61">
        <w:rPr>
          <w:rFonts w:hint="eastAsia"/>
          <w:b/>
          <w:bCs/>
        </w:rPr>
        <w:t>总产出和总收入的核算</w:t>
      </w:r>
    </w:p>
    <w:p w14:paraId="36C4F9CA" w14:textId="0123698C" w:rsidR="0031403D" w:rsidRDefault="0031403D" w:rsidP="0031403D">
      <w:pPr>
        <w:ind w:firstLineChars="200" w:firstLine="480"/>
      </w:pPr>
      <w:r>
        <w:rPr>
          <w:rFonts w:hint="eastAsia"/>
        </w:rPr>
        <w:t>主要内容：</w:t>
      </w:r>
      <w:r>
        <w:rPr>
          <w:rFonts w:ascii="宋体" w:hAnsi="宋体" w:hint="eastAsia"/>
        </w:rPr>
        <w:t>宏观经济学</w:t>
      </w:r>
      <w:r>
        <w:rPr>
          <w:rFonts w:ascii="宋体" w:hAnsi="宋体" w:hint="eastAsia"/>
        </w:rPr>
        <w:t>概念</w:t>
      </w:r>
      <w:r>
        <w:rPr>
          <w:rFonts w:ascii="宋体" w:hAnsi="宋体" w:hint="eastAsia"/>
        </w:rPr>
        <w:t>；GDP的概念和核算方法；产出、收入和循环流动图；GDP与经济福利；衡量国民收入的其他数据（GNP、NDP、NI、PI和DPI)及其核算方法；名义GDP和实际GDP的区别和计算方法。</w:t>
      </w:r>
    </w:p>
    <w:p w14:paraId="1F20A98C" w14:textId="3FC69B84" w:rsidR="0031403D" w:rsidRPr="001D0A61" w:rsidRDefault="0031403D" w:rsidP="001D0A61">
      <w:pPr>
        <w:spacing w:beforeLines="50" w:before="156" w:afterLines="50" w:after="156"/>
        <w:rPr>
          <w:b/>
          <w:bCs/>
        </w:rPr>
      </w:pPr>
      <w:r w:rsidRPr="001D0A61">
        <w:rPr>
          <w:rFonts w:hint="eastAsia"/>
          <w:b/>
          <w:bCs/>
        </w:rPr>
        <w:t>（七）总供给与总需求</w:t>
      </w:r>
    </w:p>
    <w:p w14:paraId="2450842E" w14:textId="4E12FD81" w:rsidR="0031403D" w:rsidRDefault="0031403D" w:rsidP="0031403D">
      <w:pPr>
        <w:ind w:firstLine="480"/>
        <w:rPr>
          <w:rFonts w:ascii="宋体" w:hAnsi="宋体"/>
        </w:rPr>
      </w:pPr>
      <w:r>
        <w:rPr>
          <w:rFonts w:hint="eastAsia"/>
        </w:rPr>
        <w:t>主要内容：</w:t>
      </w:r>
      <w:r>
        <w:rPr>
          <w:rFonts w:ascii="宋体" w:hAnsi="宋体" w:hint="eastAsia"/>
        </w:rPr>
        <w:t>总需求曲线的含义和影响因素；财富效应、利率效应、汇率效应和税收效应；总需求曲线移动的影响因素；短期和长期总供给曲线及其移动的影响因素；AD-AS模型的均衡产量和均衡价格的决定；通过AD-AS模型分析经济波动；经济周期理论。</w:t>
      </w:r>
    </w:p>
    <w:p w14:paraId="3CB02F4A" w14:textId="61395969" w:rsidR="0031403D" w:rsidRPr="001D0A61" w:rsidRDefault="0031403D" w:rsidP="001D0A61">
      <w:pPr>
        <w:spacing w:beforeLines="50" w:before="156" w:afterLines="50" w:after="156"/>
        <w:rPr>
          <w:b/>
          <w:bCs/>
        </w:rPr>
      </w:pPr>
      <w:r w:rsidRPr="001D0A61">
        <w:rPr>
          <w:rFonts w:hint="eastAsia"/>
          <w:b/>
          <w:bCs/>
        </w:rPr>
        <w:t>（八）失业与通货膨胀</w:t>
      </w:r>
    </w:p>
    <w:p w14:paraId="470F8FFA" w14:textId="0E6B84B6" w:rsidR="0031403D" w:rsidRDefault="0031403D" w:rsidP="0031403D">
      <w:pPr>
        <w:ind w:firstLine="480"/>
        <w:rPr>
          <w:rFonts w:ascii="宋体" w:hAnsi="宋体"/>
        </w:rPr>
      </w:pPr>
      <w:r>
        <w:rPr>
          <w:rFonts w:ascii="宋体" w:hAnsi="宋体" w:hint="eastAsia"/>
        </w:rPr>
        <w:t>主要内容：</w:t>
      </w:r>
      <w:r>
        <w:rPr>
          <w:rFonts w:ascii="宋体" w:hAnsi="宋体" w:hint="eastAsia"/>
        </w:rPr>
        <w:t>失业的定义、衡量和类型</w:t>
      </w:r>
      <w:r>
        <w:rPr>
          <w:rFonts w:ascii="宋体" w:hAnsi="宋体" w:hint="eastAsia"/>
        </w:rPr>
        <w:t>；</w:t>
      </w:r>
      <w:r>
        <w:rPr>
          <w:rFonts w:ascii="宋体" w:hAnsi="宋体" w:hint="eastAsia"/>
        </w:rPr>
        <w:t>失业的经济学解释；失业的影响；自然失业率的定义、动态模型以及影响因素；通货膨胀的定义、衡量及其类型；需</w:t>
      </w:r>
      <w:r>
        <w:rPr>
          <w:rFonts w:ascii="宋体" w:hAnsi="宋体" w:hint="eastAsia"/>
        </w:rPr>
        <w:lastRenderedPageBreak/>
        <w:t>求拉动的通货膨胀和成本推动的通货膨胀；通货膨胀的收入分配效应和产出效应；菲利普曲线的运用和附加预期的菲利普曲线。</w:t>
      </w:r>
    </w:p>
    <w:p w14:paraId="4610D295" w14:textId="3913C10C" w:rsidR="0031403D" w:rsidRPr="001D0A61" w:rsidRDefault="0031403D" w:rsidP="001D0A61">
      <w:pPr>
        <w:spacing w:beforeLines="50" w:before="156" w:afterLines="50" w:after="156"/>
        <w:rPr>
          <w:b/>
          <w:bCs/>
        </w:rPr>
      </w:pPr>
      <w:r w:rsidRPr="001D0A61">
        <w:rPr>
          <w:rFonts w:hint="eastAsia"/>
          <w:b/>
          <w:bCs/>
        </w:rPr>
        <w:t>（九）</w:t>
      </w:r>
      <w:r w:rsidRPr="001D0A61">
        <w:rPr>
          <w:rFonts w:hint="eastAsia"/>
          <w:b/>
          <w:bCs/>
        </w:rPr>
        <w:t>宏观经济政策</w:t>
      </w:r>
    </w:p>
    <w:p w14:paraId="7FE23A84" w14:textId="42197261" w:rsidR="0031403D" w:rsidRDefault="0031403D" w:rsidP="0031403D">
      <w:pPr>
        <w:ind w:firstLine="480"/>
        <w:rPr>
          <w:rFonts w:ascii="宋体" w:hAnsi="宋体"/>
        </w:rPr>
      </w:pPr>
      <w:r>
        <w:rPr>
          <w:rFonts w:ascii="宋体" w:hAnsi="宋体" w:hint="eastAsia"/>
        </w:rPr>
        <w:t>主要内容：</w:t>
      </w:r>
      <w:r>
        <w:rPr>
          <w:rFonts w:ascii="宋体" w:hAnsi="宋体" w:hint="eastAsia"/>
        </w:rPr>
        <w:t>宏观经济政策目标以及目标之间的关系；宏观经济政策体系；财政收入政策与工具，以及财政支出政策与工具；自动稳定器的含义和工具；购买乘数和挤出效应；财政政策的局限性；货币政策工具；货币政策的传导机制；货币政策的效果及其局限性。</w:t>
      </w:r>
    </w:p>
    <w:p w14:paraId="1F1257D7" w14:textId="3D2D0B18" w:rsidR="0031403D" w:rsidRPr="001D0A61" w:rsidRDefault="0031403D" w:rsidP="001D0A61">
      <w:pPr>
        <w:spacing w:beforeLines="50" w:before="156" w:afterLines="50" w:after="156"/>
        <w:rPr>
          <w:b/>
          <w:bCs/>
        </w:rPr>
      </w:pPr>
      <w:r w:rsidRPr="001D0A61">
        <w:rPr>
          <w:rFonts w:hint="eastAsia"/>
          <w:b/>
          <w:bCs/>
        </w:rPr>
        <w:t>（十）经济增长</w:t>
      </w:r>
    </w:p>
    <w:p w14:paraId="1AA7BB03" w14:textId="6C3D2EDA" w:rsidR="0031403D" w:rsidRDefault="0031403D" w:rsidP="00C05F30">
      <w:pPr>
        <w:ind w:firstLine="480"/>
      </w:pPr>
      <w:r>
        <w:rPr>
          <w:rFonts w:ascii="宋体" w:hAnsi="宋体" w:hint="eastAsia"/>
        </w:rPr>
        <w:t>主要内容：</w:t>
      </w:r>
      <w:r>
        <w:rPr>
          <w:rFonts w:ascii="宋体" w:hAnsi="宋体" w:hint="eastAsia"/>
        </w:rPr>
        <w:t>经济增长的性质、度量及其原因；经济增长的核算；新古典经济增长模型的基本假设和基本方程；新古典经济增长模型的稳态分析及其条件；资本积累的动态最优化路径。</w:t>
      </w:r>
    </w:p>
    <w:p w14:paraId="597B5A1F" w14:textId="5A65FB5E" w:rsidR="00C05F30" w:rsidRPr="001D0A61" w:rsidRDefault="00C05F30" w:rsidP="001D0A61">
      <w:pPr>
        <w:spacing w:beforeLines="50" w:before="156" w:afterLines="50" w:after="156"/>
        <w:rPr>
          <w:b/>
          <w:bCs/>
        </w:rPr>
      </w:pPr>
      <w:r w:rsidRPr="001D0A61">
        <w:rPr>
          <w:rFonts w:hint="eastAsia"/>
          <w:b/>
          <w:bCs/>
        </w:rPr>
        <w:t>（十一）</w:t>
      </w:r>
      <w:r w:rsidRPr="001D0A61">
        <w:rPr>
          <w:rFonts w:hint="eastAsia"/>
          <w:b/>
          <w:bCs/>
        </w:rPr>
        <w:t>开放条件下的宏观经济学</w:t>
      </w:r>
    </w:p>
    <w:p w14:paraId="7E9FAD04" w14:textId="624FB36E" w:rsidR="00C05F30" w:rsidRPr="00C05F30" w:rsidRDefault="00C05F30" w:rsidP="00C05F30">
      <w:pPr>
        <w:rPr>
          <w:rFonts w:hint="eastAsia"/>
        </w:rPr>
      </w:pPr>
      <w:r>
        <w:rPr>
          <w:rFonts w:hint="eastAsia"/>
        </w:rPr>
        <w:t xml:space="preserve">    </w:t>
      </w:r>
      <w:r>
        <w:rPr>
          <w:rFonts w:hint="eastAsia"/>
        </w:rPr>
        <w:t>主要内容：</w:t>
      </w:r>
      <w:r>
        <w:rPr>
          <w:rFonts w:ascii="宋体" w:hAnsi="宋体" w:hint="eastAsia"/>
        </w:rPr>
        <w:t>绝对优势理论、比较优势理论、生产要素禀赋学说；关税壁垒、非关税壁垒、出口补贴等国际贸易限制</w:t>
      </w:r>
      <w:r>
        <w:rPr>
          <w:rFonts w:ascii="宋体" w:hAnsi="宋体" w:hint="eastAsia"/>
        </w:rPr>
        <w:t>；</w:t>
      </w:r>
      <w:r>
        <w:rPr>
          <w:rFonts w:ascii="宋体" w:hAnsi="宋体" w:hint="eastAsia"/>
        </w:rPr>
        <w:t>净资本流出和国际收支；汇率的标价方法；实际汇率与名义汇率之间的关系以及计算方法；汇率的决定及其制度。</w:t>
      </w:r>
    </w:p>
    <w:p w14:paraId="768B5C1D" w14:textId="5B82F9D8" w:rsidR="005D0285" w:rsidRPr="001D0A61" w:rsidRDefault="005D0285" w:rsidP="001D0A61">
      <w:pPr>
        <w:pStyle w:val="a3"/>
        <w:numPr>
          <w:ilvl w:val="0"/>
          <w:numId w:val="5"/>
        </w:numPr>
        <w:spacing w:beforeLines="50" w:before="156" w:afterLines="50" w:after="156"/>
        <w:ind w:left="493" w:firstLineChars="0" w:hanging="493"/>
        <w:rPr>
          <w:rFonts w:ascii="黑体" w:eastAsia="黑体" w:hAnsi="黑体"/>
          <w:b/>
          <w:bCs/>
          <w:szCs w:val="24"/>
        </w:rPr>
      </w:pPr>
      <w:r w:rsidRPr="001D0A61">
        <w:rPr>
          <w:rFonts w:ascii="黑体" w:eastAsia="黑体" w:hAnsi="黑体" w:hint="eastAsia"/>
          <w:b/>
          <w:bCs/>
          <w:szCs w:val="24"/>
        </w:rPr>
        <w:t>数字经济学</w:t>
      </w:r>
    </w:p>
    <w:p w14:paraId="3DAD8AFC" w14:textId="53542A60" w:rsidR="00D031D8" w:rsidRDefault="0070213F" w:rsidP="00E77EAD">
      <w:pPr>
        <w:ind w:firstLineChars="200" w:firstLine="480"/>
      </w:pPr>
      <w:r w:rsidRPr="00F1345D">
        <w:rPr>
          <w:rFonts w:hint="eastAsia"/>
        </w:rPr>
        <w:t>参考书目：</w:t>
      </w:r>
      <w:r w:rsidR="00D031D8" w:rsidRPr="00D031D8">
        <w:rPr>
          <w:rFonts w:hint="eastAsia"/>
        </w:rPr>
        <w:t>《数字经济</w:t>
      </w:r>
      <w:r w:rsidR="001C1C71">
        <w:rPr>
          <w:rFonts w:hint="eastAsia"/>
        </w:rPr>
        <w:t>学</w:t>
      </w:r>
      <w:r w:rsidR="00D031D8" w:rsidRPr="00D031D8">
        <w:rPr>
          <w:rFonts w:hint="eastAsia"/>
        </w:rPr>
        <w:t>导论》李涛、刘航</w:t>
      </w:r>
      <w:r w:rsidR="001C1C71">
        <w:rPr>
          <w:rFonts w:hint="eastAsia"/>
        </w:rPr>
        <w:t>等</w:t>
      </w:r>
      <w:r w:rsidR="002F50B9">
        <w:rPr>
          <w:rFonts w:hint="eastAsia"/>
        </w:rPr>
        <w:t>，</w:t>
      </w:r>
      <w:r w:rsidR="00D031D8">
        <w:rPr>
          <w:rFonts w:hint="eastAsia"/>
        </w:rPr>
        <w:t>高等教育出版社</w:t>
      </w:r>
      <w:r w:rsidR="002F50B9">
        <w:rPr>
          <w:rFonts w:hint="eastAsia"/>
        </w:rPr>
        <w:t>，</w:t>
      </w:r>
      <w:r w:rsidR="00D031D8">
        <w:rPr>
          <w:rFonts w:hint="eastAsia"/>
        </w:rPr>
        <w:t>2022</w:t>
      </w:r>
      <w:r w:rsidR="00D031D8">
        <w:rPr>
          <w:rFonts w:hint="eastAsia"/>
        </w:rPr>
        <w:t>年版</w:t>
      </w:r>
      <w:r w:rsidR="002F50B9">
        <w:rPr>
          <w:rFonts w:hint="eastAsia"/>
        </w:rPr>
        <w:t>。</w:t>
      </w:r>
    </w:p>
    <w:p w14:paraId="7A532686" w14:textId="793B37DC" w:rsidR="00E77EAD" w:rsidRPr="001D0A61" w:rsidRDefault="00E77EAD" w:rsidP="001D0A61">
      <w:pPr>
        <w:spacing w:beforeLines="50" w:before="156" w:afterLines="50" w:after="156"/>
        <w:rPr>
          <w:b/>
          <w:bCs/>
        </w:rPr>
      </w:pPr>
      <w:r w:rsidRPr="001D0A61">
        <w:rPr>
          <w:rFonts w:hint="eastAsia"/>
          <w:b/>
          <w:bCs/>
        </w:rPr>
        <w:t>（一）</w:t>
      </w:r>
      <w:r w:rsidRPr="001D0A61">
        <w:rPr>
          <w:rFonts w:hint="eastAsia"/>
          <w:b/>
          <w:bCs/>
        </w:rPr>
        <w:t>数字经济学相关理论概述</w:t>
      </w:r>
    </w:p>
    <w:p w14:paraId="7FBB1583" w14:textId="063DA04D" w:rsidR="00E77EAD" w:rsidRDefault="00E77EAD" w:rsidP="00E77EAD">
      <w:pPr>
        <w:ind w:firstLineChars="200" w:firstLine="480"/>
      </w:pPr>
      <w:r>
        <w:rPr>
          <w:rFonts w:hint="eastAsia"/>
        </w:rPr>
        <w:t>主要内容：</w:t>
      </w:r>
      <w:r>
        <w:rPr>
          <w:rFonts w:hint="eastAsia"/>
        </w:rPr>
        <w:t>数字经济定义；传统经济与数字经济的区别；数字经济发展背景；数字经济的核心要素；数据价值属性；数字平台、网络效应、平台经济、共享经济的基本概念及其经济影响；企业数字化转型与数字化创新的路径和策略</w:t>
      </w:r>
      <w:r>
        <w:rPr>
          <w:rFonts w:hint="eastAsia"/>
        </w:rPr>
        <w:t>。</w:t>
      </w:r>
    </w:p>
    <w:p w14:paraId="5D9F4BF9" w14:textId="450F954B" w:rsidR="00E77EAD" w:rsidRPr="001D0A61" w:rsidRDefault="00E77EAD" w:rsidP="001D0A61">
      <w:pPr>
        <w:spacing w:beforeLines="50" w:before="156" w:afterLines="50" w:after="156"/>
        <w:rPr>
          <w:b/>
          <w:bCs/>
        </w:rPr>
      </w:pPr>
      <w:r w:rsidRPr="001D0A61">
        <w:rPr>
          <w:rFonts w:hint="eastAsia"/>
          <w:b/>
          <w:bCs/>
        </w:rPr>
        <w:t>（二）</w:t>
      </w:r>
      <w:r w:rsidRPr="001D0A61">
        <w:rPr>
          <w:rFonts w:hint="eastAsia"/>
          <w:b/>
          <w:bCs/>
        </w:rPr>
        <w:t>数字技术与数字化创新</w:t>
      </w:r>
    </w:p>
    <w:p w14:paraId="6325C287" w14:textId="4FCAC9FA" w:rsidR="00E77EAD" w:rsidRDefault="00E77EAD" w:rsidP="00E77EAD">
      <w:pPr>
        <w:ind w:firstLineChars="200" w:firstLine="480"/>
      </w:pPr>
      <w:r>
        <w:rPr>
          <w:rFonts w:hint="eastAsia"/>
        </w:rPr>
        <w:t>主要内容：</w:t>
      </w:r>
      <w:r>
        <w:rPr>
          <w:rFonts w:hint="eastAsia"/>
        </w:rPr>
        <w:t>数字技术特征；人工智能、区块链、云计算、大数据、互联网与物联网等相关数字技术基础；数字化生产模式对传统产业的影响；数字经济基本规律；</w:t>
      </w:r>
      <w:r w:rsidRPr="006F3B33">
        <w:t>数字创新活动中智力资本的作用和知识共享的原理</w:t>
      </w:r>
      <w:r>
        <w:rPr>
          <w:rFonts w:hint="eastAsia"/>
        </w:rPr>
        <w:t>；</w:t>
      </w:r>
      <w:r w:rsidRPr="006F3B33">
        <w:t>网络集群的特征</w:t>
      </w:r>
      <w:r w:rsidRPr="006F3B33">
        <w:lastRenderedPageBreak/>
        <w:t>与规律</w:t>
      </w:r>
      <w:r>
        <w:rPr>
          <w:rFonts w:hint="eastAsia"/>
        </w:rPr>
        <w:t>；</w:t>
      </w:r>
      <w:r w:rsidRPr="006F3B33">
        <w:t>运用智力资本、知识共享、网络集群理论分析数字化创新中的跨界合作机制</w:t>
      </w:r>
      <w:r>
        <w:rPr>
          <w:rFonts w:hint="eastAsia"/>
        </w:rPr>
        <w:t>。</w:t>
      </w:r>
    </w:p>
    <w:p w14:paraId="7CAD994D" w14:textId="07B05607" w:rsidR="00E77EAD" w:rsidRPr="001D0A61" w:rsidRDefault="00E77EAD" w:rsidP="001D0A61">
      <w:pPr>
        <w:spacing w:beforeLines="50" w:before="156" w:afterLines="50" w:after="156"/>
        <w:rPr>
          <w:b/>
          <w:bCs/>
        </w:rPr>
      </w:pPr>
      <w:r w:rsidRPr="001D0A61">
        <w:rPr>
          <w:rFonts w:hint="eastAsia"/>
          <w:b/>
          <w:bCs/>
        </w:rPr>
        <w:t>（三）</w:t>
      </w:r>
      <w:r w:rsidRPr="001D0A61">
        <w:rPr>
          <w:rFonts w:hint="eastAsia"/>
          <w:b/>
          <w:bCs/>
        </w:rPr>
        <w:t>数字市场运行规律</w:t>
      </w:r>
    </w:p>
    <w:p w14:paraId="09CC4950" w14:textId="0A22B91F" w:rsidR="00E77EAD" w:rsidRPr="001D0A61" w:rsidRDefault="00E77EAD" w:rsidP="00E77EAD">
      <w:pPr>
        <w:ind w:firstLineChars="200" w:firstLine="472"/>
        <w:rPr>
          <w:spacing w:val="-2"/>
        </w:rPr>
      </w:pPr>
      <w:r w:rsidRPr="001D0A61">
        <w:rPr>
          <w:rFonts w:hint="eastAsia"/>
          <w:spacing w:val="-2"/>
        </w:rPr>
        <w:t>主要内容：</w:t>
      </w:r>
      <w:r w:rsidRPr="001D0A61">
        <w:rPr>
          <w:spacing w:val="-2"/>
        </w:rPr>
        <w:t>数字化冲击下供需的结构性变化</w:t>
      </w:r>
      <w:r w:rsidRPr="001D0A61">
        <w:rPr>
          <w:rFonts w:hint="eastAsia"/>
          <w:spacing w:val="-2"/>
        </w:rPr>
        <w:t>；</w:t>
      </w:r>
      <w:r w:rsidRPr="001D0A61">
        <w:rPr>
          <w:spacing w:val="-2"/>
        </w:rPr>
        <w:t>工业经济时代与数字经济时代需求侧和供给侧的特性</w:t>
      </w:r>
      <w:r w:rsidRPr="001D0A61">
        <w:rPr>
          <w:rFonts w:hint="eastAsia"/>
          <w:spacing w:val="-2"/>
        </w:rPr>
        <w:t>；数字经济时代需求牵引供给的应用体现；</w:t>
      </w:r>
      <w:r w:rsidRPr="001D0A61">
        <w:rPr>
          <w:spacing w:val="-2"/>
        </w:rPr>
        <w:t>数字技术对经济活动各项成本的冲击</w:t>
      </w:r>
      <w:r w:rsidRPr="001D0A61">
        <w:rPr>
          <w:rFonts w:hint="eastAsia"/>
          <w:spacing w:val="-2"/>
        </w:rPr>
        <w:t>；</w:t>
      </w:r>
      <w:r w:rsidRPr="001D0A61">
        <w:rPr>
          <w:spacing w:val="-2"/>
        </w:rPr>
        <w:t>数字技术对资源配置的影响机制和路径</w:t>
      </w:r>
      <w:r w:rsidRPr="001D0A61">
        <w:rPr>
          <w:rFonts w:hint="eastAsia"/>
          <w:spacing w:val="-2"/>
        </w:rPr>
        <w:t>；传统行业数字化转型机制路径；</w:t>
      </w:r>
      <w:r w:rsidRPr="001D0A61">
        <w:rPr>
          <w:spacing w:val="-2"/>
        </w:rPr>
        <w:t>数字规则的基本内涵</w:t>
      </w:r>
      <w:r w:rsidRPr="001D0A61">
        <w:rPr>
          <w:rFonts w:hint="eastAsia"/>
          <w:spacing w:val="-2"/>
        </w:rPr>
        <w:t>；</w:t>
      </w:r>
      <w:r w:rsidRPr="001D0A61">
        <w:rPr>
          <w:spacing w:val="-2"/>
        </w:rPr>
        <w:t>零边际成本社会及其引发的垄断问题</w:t>
      </w:r>
      <w:r w:rsidRPr="001D0A61">
        <w:rPr>
          <w:rFonts w:hint="eastAsia"/>
          <w:spacing w:val="-2"/>
        </w:rPr>
        <w:t>。</w:t>
      </w:r>
    </w:p>
    <w:p w14:paraId="25245D64" w14:textId="015B387C" w:rsidR="00E77EAD" w:rsidRPr="001D0A61" w:rsidRDefault="00E77EAD" w:rsidP="001D0A61">
      <w:pPr>
        <w:spacing w:beforeLines="50" w:before="156" w:afterLines="50" w:after="156"/>
        <w:rPr>
          <w:b/>
          <w:bCs/>
        </w:rPr>
      </w:pPr>
      <w:r w:rsidRPr="001D0A61">
        <w:rPr>
          <w:rFonts w:hint="eastAsia"/>
          <w:b/>
          <w:bCs/>
        </w:rPr>
        <w:t>（四）数字产业与企业行为</w:t>
      </w:r>
    </w:p>
    <w:p w14:paraId="5BF84777" w14:textId="13F7B012" w:rsidR="00E77EAD" w:rsidRDefault="00E77EAD" w:rsidP="00E77EAD">
      <w:pPr>
        <w:ind w:firstLineChars="200" w:firstLine="480"/>
        <w:rPr>
          <w:rFonts w:hint="eastAsia"/>
        </w:rPr>
      </w:pPr>
      <w:r>
        <w:rPr>
          <w:rFonts w:hint="eastAsia"/>
        </w:rPr>
        <w:t>主要内容：数字产业化的内涵和特征；数字经济整体技术构架；产业数字化的内涵和特征；“</w:t>
      </w:r>
      <w:r w:rsidRPr="006F3B33">
        <w:t>两化融合</w:t>
      </w:r>
      <w:r>
        <w:rPr>
          <w:rFonts w:hint="eastAsia"/>
        </w:rPr>
        <w:t>”</w:t>
      </w:r>
      <w:r w:rsidRPr="006F3B33">
        <w:t>的协同作用</w:t>
      </w:r>
      <w:r>
        <w:rPr>
          <w:rFonts w:hint="eastAsia"/>
        </w:rPr>
        <w:t>；平台经济的定义、特征、形成机理及其效应；</w:t>
      </w:r>
      <w:r w:rsidRPr="006F3B33">
        <w:t>服务化现象的产生及其成因</w:t>
      </w:r>
      <w:r>
        <w:rPr>
          <w:rFonts w:hint="eastAsia"/>
        </w:rPr>
        <w:t>；</w:t>
      </w:r>
      <w:r w:rsidRPr="006F3B33">
        <w:rPr>
          <w:rFonts w:hint="eastAsia"/>
        </w:rPr>
        <w:t>解智能经济的内涵、特征及其对社会经济发展的影响</w:t>
      </w:r>
      <w:r>
        <w:rPr>
          <w:rFonts w:hint="eastAsia"/>
        </w:rPr>
        <w:t>；平台企业、平台网络效应、平台的市场力量与垄断平台化。</w:t>
      </w:r>
    </w:p>
    <w:p w14:paraId="40C31EE4" w14:textId="1BA848F0" w:rsidR="00E77EAD" w:rsidRPr="001D0A61" w:rsidRDefault="00E77EAD" w:rsidP="001D0A61">
      <w:pPr>
        <w:spacing w:beforeLines="50" w:before="156" w:afterLines="50" w:after="156"/>
        <w:rPr>
          <w:b/>
          <w:bCs/>
        </w:rPr>
      </w:pPr>
      <w:r w:rsidRPr="001D0A61">
        <w:rPr>
          <w:rFonts w:hint="eastAsia"/>
          <w:b/>
          <w:bCs/>
        </w:rPr>
        <w:t>（五）</w:t>
      </w:r>
      <w:r w:rsidRPr="001D0A61">
        <w:rPr>
          <w:rFonts w:hint="eastAsia"/>
          <w:b/>
          <w:bCs/>
        </w:rPr>
        <w:t>数字生态和数字贸易</w:t>
      </w:r>
    </w:p>
    <w:p w14:paraId="1884DAC9" w14:textId="445FE4B5" w:rsidR="00E77EAD" w:rsidRDefault="00E77EAD" w:rsidP="00E77EAD">
      <w:pPr>
        <w:ind w:firstLineChars="200" w:firstLine="480"/>
      </w:pPr>
      <w:r>
        <w:rPr>
          <w:rFonts w:hint="eastAsia"/>
        </w:rPr>
        <w:t>主要内容：数字生态内涵和基本要素；</w:t>
      </w:r>
      <w:r w:rsidRPr="006F3B33">
        <w:rPr>
          <w:rFonts w:hint="eastAsia"/>
        </w:rPr>
        <w:t>企业生态位及生态位宽度</w:t>
      </w:r>
      <w:r>
        <w:rPr>
          <w:rFonts w:hint="eastAsia"/>
        </w:rPr>
        <w:t>的含义；</w:t>
      </w:r>
      <w:r w:rsidRPr="006F3B33">
        <w:t>数字贸易历史沿革与基本概念</w:t>
      </w:r>
      <w:r>
        <w:rPr>
          <w:rFonts w:hint="eastAsia"/>
        </w:rPr>
        <w:t>；</w:t>
      </w:r>
      <w:r w:rsidRPr="006F3B33">
        <w:t>数字经济时代数字贸易发展现状</w:t>
      </w:r>
      <w:r>
        <w:rPr>
          <w:rFonts w:hint="eastAsia"/>
        </w:rPr>
        <w:t>；</w:t>
      </w:r>
      <w:r w:rsidRPr="006F3B33">
        <w:t>常见的数字贸易壁垒</w:t>
      </w:r>
      <w:r>
        <w:rPr>
          <w:rFonts w:hint="eastAsia"/>
        </w:rPr>
        <w:t>；</w:t>
      </w:r>
      <w:r w:rsidRPr="00A473A3">
        <w:t>B2B</w:t>
      </w:r>
      <w:r w:rsidRPr="00A473A3">
        <w:t>、</w:t>
      </w:r>
      <w:r w:rsidRPr="00A473A3">
        <w:t>B2C</w:t>
      </w:r>
      <w:r w:rsidRPr="00A473A3">
        <w:t>、</w:t>
      </w:r>
      <w:r w:rsidRPr="00A473A3">
        <w:t>C2C</w:t>
      </w:r>
      <w:r w:rsidRPr="00A473A3">
        <w:t>等电子商务模式的运作原理</w:t>
      </w:r>
      <w:r>
        <w:rPr>
          <w:rFonts w:hint="eastAsia"/>
        </w:rPr>
        <w:t>；消费者行为的数字化、数字营销的概念与内涵；</w:t>
      </w:r>
      <w:r w:rsidRPr="006F3B33">
        <w:t>数字贸易争端解决机制</w:t>
      </w:r>
      <w:r>
        <w:rPr>
          <w:rFonts w:hint="eastAsia"/>
        </w:rPr>
        <w:t>。</w:t>
      </w:r>
    </w:p>
    <w:p w14:paraId="3BCA0F36" w14:textId="21CCA2CE" w:rsidR="00E77EAD" w:rsidRPr="001D0A61" w:rsidRDefault="00E77EAD" w:rsidP="001D0A61">
      <w:pPr>
        <w:spacing w:beforeLines="50" w:before="156" w:afterLines="50" w:after="156"/>
        <w:rPr>
          <w:b/>
          <w:bCs/>
        </w:rPr>
      </w:pPr>
      <w:r w:rsidRPr="001D0A61">
        <w:rPr>
          <w:rFonts w:hint="eastAsia"/>
          <w:b/>
          <w:bCs/>
        </w:rPr>
        <w:t>（六）</w:t>
      </w:r>
      <w:r w:rsidRPr="001D0A61">
        <w:rPr>
          <w:rFonts w:hint="eastAsia"/>
          <w:b/>
          <w:bCs/>
        </w:rPr>
        <w:t>数字要素市场基本理论</w:t>
      </w:r>
    </w:p>
    <w:p w14:paraId="51B65B50" w14:textId="353E8885" w:rsidR="00E77EAD" w:rsidRDefault="00E77EAD" w:rsidP="00E77EAD">
      <w:pPr>
        <w:ind w:firstLineChars="200" w:firstLine="480"/>
      </w:pPr>
      <w:r>
        <w:rPr>
          <w:rFonts w:hint="eastAsia"/>
        </w:rPr>
        <w:t>主要内容：</w:t>
      </w:r>
      <w:r>
        <w:rPr>
          <w:rFonts w:hint="eastAsia"/>
        </w:rPr>
        <w:t>数据价值化的相关概念；数据交易、数据资产与数据确权的概念与内涵；数据价值链、数据资产定价</w:t>
      </w:r>
      <w:r>
        <w:rPr>
          <w:rFonts w:hint="eastAsia"/>
        </w:rPr>
        <w:t>。</w:t>
      </w:r>
    </w:p>
    <w:p w14:paraId="5BD9FDF4" w14:textId="3A7444FB" w:rsidR="00E77EAD" w:rsidRPr="001D0A61" w:rsidRDefault="00E77EAD" w:rsidP="001D0A61">
      <w:pPr>
        <w:spacing w:beforeLines="50" w:before="156" w:afterLines="50" w:after="156"/>
        <w:rPr>
          <w:b/>
          <w:bCs/>
        </w:rPr>
      </w:pPr>
      <w:r w:rsidRPr="001D0A61">
        <w:rPr>
          <w:rFonts w:hint="eastAsia"/>
          <w:b/>
          <w:bCs/>
        </w:rPr>
        <w:t>（七）</w:t>
      </w:r>
      <w:r w:rsidRPr="001D0A61">
        <w:rPr>
          <w:rFonts w:hint="eastAsia"/>
          <w:b/>
          <w:bCs/>
        </w:rPr>
        <w:t>数字货币与金融科技</w:t>
      </w:r>
    </w:p>
    <w:p w14:paraId="5FDD3118" w14:textId="77777777" w:rsidR="00E77EAD" w:rsidRPr="001D0A61" w:rsidRDefault="00E77EAD" w:rsidP="00E77EAD">
      <w:pPr>
        <w:ind w:firstLineChars="200" w:firstLine="464"/>
        <w:rPr>
          <w:spacing w:val="-4"/>
        </w:rPr>
      </w:pPr>
      <w:r w:rsidRPr="001D0A61">
        <w:rPr>
          <w:rFonts w:hint="eastAsia"/>
          <w:spacing w:val="-4"/>
        </w:rPr>
        <w:t>主要内容：数字货币与加密货币原理；央行数字货币概念；金融科技相关理论</w:t>
      </w:r>
      <w:r w:rsidRPr="001D0A61">
        <w:rPr>
          <w:rFonts w:hint="eastAsia"/>
          <w:spacing w:val="-4"/>
        </w:rPr>
        <w:t>。</w:t>
      </w:r>
    </w:p>
    <w:p w14:paraId="23496126" w14:textId="05893877" w:rsidR="00E77EAD" w:rsidRPr="001D0A61" w:rsidRDefault="00E77EAD" w:rsidP="001D0A61">
      <w:pPr>
        <w:spacing w:beforeLines="50" w:before="156" w:afterLines="50" w:after="156"/>
        <w:rPr>
          <w:b/>
          <w:bCs/>
        </w:rPr>
      </w:pPr>
      <w:r w:rsidRPr="001D0A61">
        <w:rPr>
          <w:rFonts w:hint="eastAsia"/>
          <w:b/>
          <w:bCs/>
        </w:rPr>
        <w:t>（八）</w:t>
      </w:r>
      <w:r w:rsidRPr="001D0A61">
        <w:rPr>
          <w:rFonts w:hint="eastAsia"/>
          <w:b/>
          <w:bCs/>
        </w:rPr>
        <w:t>数字经济与社会福利</w:t>
      </w:r>
    </w:p>
    <w:p w14:paraId="6DBEF771" w14:textId="6724E3EA" w:rsidR="00E77EAD" w:rsidRPr="00E77EAD" w:rsidRDefault="00E77EAD" w:rsidP="00E77EAD">
      <w:pPr>
        <w:ind w:firstLineChars="200" w:firstLine="480"/>
        <w:rPr>
          <w:rFonts w:hint="eastAsia"/>
        </w:rPr>
      </w:pPr>
      <w:r>
        <w:rPr>
          <w:rFonts w:hint="eastAsia"/>
        </w:rPr>
        <w:t>主要内容：</w:t>
      </w:r>
      <w:r w:rsidRPr="005D5E0E">
        <w:rPr>
          <w:rFonts w:hint="eastAsia"/>
        </w:rPr>
        <w:t>数字红利</w:t>
      </w:r>
      <w:r>
        <w:rPr>
          <w:rFonts w:hint="eastAsia"/>
        </w:rPr>
        <w:t>的相关概念；</w:t>
      </w:r>
      <w:r w:rsidRPr="006F3B33">
        <w:t>数字技术催生数字红利的机制与影响</w:t>
      </w:r>
      <w:r>
        <w:rPr>
          <w:rFonts w:hint="eastAsia"/>
        </w:rPr>
        <w:t>；</w:t>
      </w:r>
      <w:r w:rsidRPr="006F3B33">
        <w:rPr>
          <w:rFonts w:hint="eastAsia"/>
        </w:rPr>
        <w:t>连接红利和共享经济红利</w:t>
      </w:r>
      <w:r>
        <w:rPr>
          <w:rFonts w:hint="eastAsia"/>
        </w:rPr>
        <w:t>的概念；</w:t>
      </w:r>
      <w:r w:rsidRPr="005D5E0E">
        <w:rPr>
          <w:rFonts w:hint="eastAsia"/>
        </w:rPr>
        <w:t>数字鸿沟</w:t>
      </w:r>
      <w:r>
        <w:rPr>
          <w:rFonts w:hint="eastAsia"/>
        </w:rPr>
        <w:t>的相关概念；数字鸿沟的测算方法；</w:t>
      </w:r>
      <w:r>
        <w:rPr>
          <w:rFonts w:hint="eastAsia"/>
        </w:rPr>
        <w:lastRenderedPageBreak/>
        <w:t>数字鸿沟产生的原因及影响；</w:t>
      </w:r>
      <w:r w:rsidRPr="006F3B33">
        <w:t>弥合数字鸿沟的方法和对策</w:t>
      </w:r>
      <w:r>
        <w:rPr>
          <w:rFonts w:hint="eastAsia"/>
        </w:rPr>
        <w:t>；</w:t>
      </w:r>
      <w:r w:rsidRPr="006F3B33">
        <w:t>数据垄断的基本概念与成因</w:t>
      </w:r>
      <w:r>
        <w:rPr>
          <w:rFonts w:hint="eastAsia"/>
        </w:rPr>
        <w:t>；</w:t>
      </w:r>
      <w:r w:rsidRPr="006F3B33">
        <w:t>算法与数据之间的关系</w:t>
      </w:r>
      <w:r>
        <w:rPr>
          <w:rFonts w:hint="eastAsia"/>
        </w:rPr>
        <w:t>；</w:t>
      </w:r>
      <w:r w:rsidRPr="006F3B33">
        <w:t>数据垄断和</w:t>
      </w:r>
      <w:r>
        <w:rPr>
          <w:rFonts w:hint="eastAsia"/>
        </w:rPr>
        <w:t>算法</w:t>
      </w:r>
      <w:r w:rsidRPr="006F3B33">
        <w:t>滥用对市场竞争的影响</w:t>
      </w:r>
      <w:r>
        <w:rPr>
          <w:rFonts w:hint="eastAsia"/>
        </w:rPr>
        <w:t>；</w:t>
      </w:r>
      <w:r w:rsidRPr="006F3B33">
        <w:t>数据垄断和</w:t>
      </w:r>
      <w:r>
        <w:rPr>
          <w:rFonts w:hint="eastAsia"/>
        </w:rPr>
        <w:t>算法</w:t>
      </w:r>
      <w:r w:rsidRPr="006F3B33">
        <w:t>滥用的国际立法执法趋势</w:t>
      </w:r>
      <w:r>
        <w:rPr>
          <w:rFonts w:hint="eastAsia"/>
        </w:rPr>
        <w:t>。</w:t>
      </w:r>
    </w:p>
    <w:sectPr w:rsidR="00E77EAD" w:rsidRPr="00E77EAD" w:rsidSect="002D4508">
      <w:pgSz w:w="11906" w:h="16838"/>
      <w:pgMar w:top="2552" w:right="1701" w:bottom="2268" w:left="1985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4DF24B" w14:textId="77777777" w:rsidR="008E5EA0" w:rsidRDefault="008E5EA0" w:rsidP="001C766C">
      <w:pPr>
        <w:spacing w:line="240" w:lineRule="auto"/>
      </w:pPr>
      <w:r>
        <w:separator/>
      </w:r>
    </w:p>
  </w:endnote>
  <w:endnote w:type="continuationSeparator" w:id="0">
    <w:p w14:paraId="64825868" w14:textId="77777777" w:rsidR="008E5EA0" w:rsidRDefault="008E5EA0" w:rsidP="001C76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3C1BCC" w14:textId="77777777" w:rsidR="008E5EA0" w:rsidRDefault="008E5EA0" w:rsidP="001C766C">
      <w:pPr>
        <w:spacing w:line="240" w:lineRule="auto"/>
      </w:pPr>
      <w:r>
        <w:separator/>
      </w:r>
    </w:p>
  </w:footnote>
  <w:footnote w:type="continuationSeparator" w:id="0">
    <w:p w14:paraId="232F9479" w14:textId="77777777" w:rsidR="008E5EA0" w:rsidRDefault="008E5EA0" w:rsidP="001C766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84706"/>
    <w:multiLevelType w:val="hybridMultilevel"/>
    <w:tmpl w:val="257082D0"/>
    <w:lvl w:ilvl="0" w:tplc="4934B098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0" w:hanging="440"/>
      </w:pPr>
    </w:lvl>
    <w:lvl w:ilvl="2" w:tplc="0409001B" w:tentative="1">
      <w:start w:val="1"/>
      <w:numFmt w:val="lowerRoman"/>
      <w:lvlText w:val="%3."/>
      <w:lvlJc w:val="righ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9" w:tentative="1">
      <w:start w:val="1"/>
      <w:numFmt w:val="lowerLetter"/>
      <w:lvlText w:val="%5)"/>
      <w:lvlJc w:val="left"/>
      <w:pPr>
        <w:ind w:left="2920" w:hanging="440"/>
      </w:pPr>
    </w:lvl>
    <w:lvl w:ilvl="5" w:tplc="0409001B" w:tentative="1">
      <w:start w:val="1"/>
      <w:numFmt w:val="lowerRoman"/>
      <w:lvlText w:val="%6."/>
      <w:lvlJc w:val="righ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9" w:tentative="1">
      <w:start w:val="1"/>
      <w:numFmt w:val="lowerLetter"/>
      <w:lvlText w:val="%8)"/>
      <w:lvlJc w:val="left"/>
      <w:pPr>
        <w:ind w:left="4240" w:hanging="440"/>
      </w:pPr>
    </w:lvl>
    <w:lvl w:ilvl="8" w:tplc="0409001B" w:tentative="1">
      <w:start w:val="1"/>
      <w:numFmt w:val="lowerRoman"/>
      <w:lvlText w:val="%9."/>
      <w:lvlJc w:val="right"/>
      <w:pPr>
        <w:ind w:left="4680" w:hanging="440"/>
      </w:pPr>
    </w:lvl>
  </w:abstractNum>
  <w:abstractNum w:abstractNumId="1" w15:restartNumberingAfterBreak="0">
    <w:nsid w:val="0BD80277"/>
    <w:multiLevelType w:val="hybridMultilevel"/>
    <w:tmpl w:val="B8BEDF6A"/>
    <w:lvl w:ilvl="0" w:tplc="1B34EF1C">
      <w:start w:val="1"/>
      <w:numFmt w:val="japaneseCounting"/>
      <w:lvlText w:val="%1、"/>
      <w:lvlJc w:val="left"/>
      <w:pPr>
        <w:ind w:left="495" w:hanging="49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FF61F52"/>
    <w:multiLevelType w:val="hybridMultilevel"/>
    <w:tmpl w:val="B7DA988A"/>
    <w:lvl w:ilvl="0" w:tplc="73AAD9B6">
      <w:start w:val="6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60" w:hanging="440"/>
      </w:pPr>
    </w:lvl>
    <w:lvl w:ilvl="2" w:tplc="0409001B" w:tentative="1">
      <w:start w:val="1"/>
      <w:numFmt w:val="lowerRoman"/>
      <w:lvlText w:val="%3."/>
      <w:lvlJc w:val="right"/>
      <w:pPr>
        <w:ind w:left="1800" w:hanging="440"/>
      </w:pPr>
    </w:lvl>
    <w:lvl w:ilvl="3" w:tplc="0409000F" w:tentative="1">
      <w:start w:val="1"/>
      <w:numFmt w:val="decimal"/>
      <w:lvlText w:val="%4."/>
      <w:lvlJc w:val="left"/>
      <w:pPr>
        <w:ind w:left="2240" w:hanging="440"/>
      </w:pPr>
    </w:lvl>
    <w:lvl w:ilvl="4" w:tplc="04090019" w:tentative="1">
      <w:start w:val="1"/>
      <w:numFmt w:val="lowerLetter"/>
      <w:lvlText w:val="%5)"/>
      <w:lvlJc w:val="left"/>
      <w:pPr>
        <w:ind w:left="2680" w:hanging="440"/>
      </w:pPr>
    </w:lvl>
    <w:lvl w:ilvl="5" w:tplc="0409001B" w:tentative="1">
      <w:start w:val="1"/>
      <w:numFmt w:val="lowerRoman"/>
      <w:lvlText w:val="%6."/>
      <w:lvlJc w:val="right"/>
      <w:pPr>
        <w:ind w:left="3120" w:hanging="440"/>
      </w:pPr>
    </w:lvl>
    <w:lvl w:ilvl="6" w:tplc="0409000F" w:tentative="1">
      <w:start w:val="1"/>
      <w:numFmt w:val="decimal"/>
      <w:lvlText w:val="%7."/>
      <w:lvlJc w:val="left"/>
      <w:pPr>
        <w:ind w:left="3560" w:hanging="440"/>
      </w:pPr>
    </w:lvl>
    <w:lvl w:ilvl="7" w:tplc="04090019" w:tentative="1">
      <w:start w:val="1"/>
      <w:numFmt w:val="lowerLetter"/>
      <w:lvlText w:val="%8)"/>
      <w:lvlJc w:val="left"/>
      <w:pPr>
        <w:ind w:left="4000" w:hanging="440"/>
      </w:pPr>
    </w:lvl>
    <w:lvl w:ilvl="8" w:tplc="0409001B" w:tentative="1">
      <w:start w:val="1"/>
      <w:numFmt w:val="lowerRoman"/>
      <w:lvlText w:val="%9."/>
      <w:lvlJc w:val="right"/>
      <w:pPr>
        <w:ind w:left="4440" w:hanging="440"/>
      </w:pPr>
    </w:lvl>
  </w:abstractNum>
  <w:abstractNum w:abstractNumId="3" w15:restartNumberingAfterBreak="0">
    <w:nsid w:val="64C768E0"/>
    <w:multiLevelType w:val="hybridMultilevel"/>
    <w:tmpl w:val="451A4FAA"/>
    <w:lvl w:ilvl="0" w:tplc="E62823D0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77D054E"/>
    <w:multiLevelType w:val="hybridMultilevel"/>
    <w:tmpl w:val="DDA8F04E"/>
    <w:lvl w:ilvl="0" w:tplc="FFFFFFFF">
      <w:start w:val="1"/>
      <w:numFmt w:val="decimal"/>
      <w:lvlText w:val="%1．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600" w:hanging="440"/>
      </w:pPr>
    </w:lvl>
    <w:lvl w:ilvl="2" w:tplc="FFFFFFFF" w:tentative="1">
      <w:start w:val="1"/>
      <w:numFmt w:val="lowerRoman"/>
      <w:lvlText w:val="%3."/>
      <w:lvlJc w:val="right"/>
      <w:pPr>
        <w:ind w:left="2040" w:hanging="440"/>
      </w:pPr>
    </w:lvl>
    <w:lvl w:ilvl="3" w:tplc="FFFFFFFF" w:tentative="1">
      <w:start w:val="1"/>
      <w:numFmt w:val="decimal"/>
      <w:lvlText w:val="%4."/>
      <w:lvlJc w:val="left"/>
      <w:pPr>
        <w:ind w:left="2480" w:hanging="440"/>
      </w:pPr>
    </w:lvl>
    <w:lvl w:ilvl="4" w:tplc="FFFFFFFF" w:tentative="1">
      <w:start w:val="1"/>
      <w:numFmt w:val="lowerLetter"/>
      <w:lvlText w:val="%5)"/>
      <w:lvlJc w:val="left"/>
      <w:pPr>
        <w:ind w:left="2920" w:hanging="440"/>
      </w:pPr>
    </w:lvl>
    <w:lvl w:ilvl="5" w:tplc="FFFFFFFF" w:tentative="1">
      <w:start w:val="1"/>
      <w:numFmt w:val="lowerRoman"/>
      <w:lvlText w:val="%6."/>
      <w:lvlJc w:val="right"/>
      <w:pPr>
        <w:ind w:left="3360" w:hanging="440"/>
      </w:pPr>
    </w:lvl>
    <w:lvl w:ilvl="6" w:tplc="FFFFFFFF" w:tentative="1">
      <w:start w:val="1"/>
      <w:numFmt w:val="decimal"/>
      <w:lvlText w:val="%7."/>
      <w:lvlJc w:val="left"/>
      <w:pPr>
        <w:ind w:left="3800" w:hanging="440"/>
      </w:pPr>
    </w:lvl>
    <w:lvl w:ilvl="7" w:tplc="FFFFFFFF" w:tentative="1">
      <w:start w:val="1"/>
      <w:numFmt w:val="lowerLetter"/>
      <w:lvlText w:val="%8)"/>
      <w:lvlJc w:val="left"/>
      <w:pPr>
        <w:ind w:left="4240" w:hanging="440"/>
      </w:pPr>
    </w:lvl>
    <w:lvl w:ilvl="8" w:tplc="FFFFFFFF" w:tentative="1">
      <w:start w:val="1"/>
      <w:numFmt w:val="lowerRoman"/>
      <w:lvlText w:val="%9."/>
      <w:lvlJc w:val="right"/>
      <w:pPr>
        <w:ind w:left="4680" w:hanging="440"/>
      </w:pPr>
    </w:lvl>
  </w:abstractNum>
  <w:abstractNum w:abstractNumId="5" w15:restartNumberingAfterBreak="0">
    <w:nsid w:val="6B80567D"/>
    <w:multiLevelType w:val="hybridMultilevel"/>
    <w:tmpl w:val="DDA8F04E"/>
    <w:lvl w:ilvl="0" w:tplc="02141012">
      <w:start w:val="1"/>
      <w:numFmt w:val="decimal"/>
      <w:lvlText w:val="%1．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0" w:hanging="440"/>
      </w:pPr>
    </w:lvl>
    <w:lvl w:ilvl="2" w:tplc="0409001B" w:tentative="1">
      <w:start w:val="1"/>
      <w:numFmt w:val="lowerRoman"/>
      <w:lvlText w:val="%3."/>
      <w:lvlJc w:val="righ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9" w:tentative="1">
      <w:start w:val="1"/>
      <w:numFmt w:val="lowerLetter"/>
      <w:lvlText w:val="%5)"/>
      <w:lvlJc w:val="left"/>
      <w:pPr>
        <w:ind w:left="2920" w:hanging="440"/>
      </w:pPr>
    </w:lvl>
    <w:lvl w:ilvl="5" w:tplc="0409001B" w:tentative="1">
      <w:start w:val="1"/>
      <w:numFmt w:val="lowerRoman"/>
      <w:lvlText w:val="%6."/>
      <w:lvlJc w:val="righ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9" w:tentative="1">
      <w:start w:val="1"/>
      <w:numFmt w:val="lowerLetter"/>
      <w:lvlText w:val="%8)"/>
      <w:lvlJc w:val="left"/>
      <w:pPr>
        <w:ind w:left="4240" w:hanging="440"/>
      </w:pPr>
    </w:lvl>
    <w:lvl w:ilvl="8" w:tplc="0409001B" w:tentative="1">
      <w:start w:val="1"/>
      <w:numFmt w:val="lowerRoman"/>
      <w:lvlText w:val="%9."/>
      <w:lvlJc w:val="right"/>
      <w:pPr>
        <w:ind w:left="4680" w:hanging="440"/>
      </w:pPr>
    </w:lvl>
  </w:abstractNum>
  <w:num w:numId="1" w16cid:durableId="1640064302">
    <w:abstractNumId w:val="3"/>
  </w:num>
  <w:num w:numId="2" w16cid:durableId="115805534">
    <w:abstractNumId w:val="5"/>
  </w:num>
  <w:num w:numId="3" w16cid:durableId="1223981888">
    <w:abstractNumId w:val="0"/>
  </w:num>
  <w:num w:numId="4" w16cid:durableId="548884739">
    <w:abstractNumId w:val="4"/>
  </w:num>
  <w:num w:numId="5" w16cid:durableId="958533155">
    <w:abstractNumId w:val="1"/>
  </w:num>
  <w:num w:numId="6" w16cid:durableId="14655396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33F"/>
    <w:rsid w:val="000732D1"/>
    <w:rsid w:val="00081F7C"/>
    <w:rsid w:val="00143F4F"/>
    <w:rsid w:val="00183054"/>
    <w:rsid w:val="001C1C71"/>
    <w:rsid w:val="001C766C"/>
    <w:rsid w:val="001D0A61"/>
    <w:rsid w:val="001D55F1"/>
    <w:rsid w:val="001F1A3F"/>
    <w:rsid w:val="002561EC"/>
    <w:rsid w:val="00291499"/>
    <w:rsid w:val="002D4508"/>
    <w:rsid w:val="002F50B9"/>
    <w:rsid w:val="0031403D"/>
    <w:rsid w:val="003340C0"/>
    <w:rsid w:val="003C35E7"/>
    <w:rsid w:val="00406780"/>
    <w:rsid w:val="005639CA"/>
    <w:rsid w:val="005D0285"/>
    <w:rsid w:val="005D5E0E"/>
    <w:rsid w:val="00637A7B"/>
    <w:rsid w:val="006613DB"/>
    <w:rsid w:val="0070213F"/>
    <w:rsid w:val="00706C6C"/>
    <w:rsid w:val="0071633F"/>
    <w:rsid w:val="0077305C"/>
    <w:rsid w:val="0079272D"/>
    <w:rsid w:val="007F3435"/>
    <w:rsid w:val="007F3C0F"/>
    <w:rsid w:val="00854710"/>
    <w:rsid w:val="008A2D81"/>
    <w:rsid w:val="008E5EA0"/>
    <w:rsid w:val="008F5A39"/>
    <w:rsid w:val="008F6EC8"/>
    <w:rsid w:val="009F3921"/>
    <w:rsid w:val="00A473A3"/>
    <w:rsid w:val="00A70B6B"/>
    <w:rsid w:val="00AA39A9"/>
    <w:rsid w:val="00B760CA"/>
    <w:rsid w:val="00C05F30"/>
    <w:rsid w:val="00C528AA"/>
    <w:rsid w:val="00D031D8"/>
    <w:rsid w:val="00D72B0E"/>
    <w:rsid w:val="00DC3DA7"/>
    <w:rsid w:val="00E77568"/>
    <w:rsid w:val="00E77EAD"/>
    <w:rsid w:val="00F1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15D83"/>
  <w15:chartTrackingRefBased/>
  <w15:docId w15:val="{E0AF639F-E419-4313-949E-622B09ADB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theme="minorBidi"/>
        <w:kern w:val="2"/>
        <w:sz w:val="24"/>
        <w:szCs w:val="18"/>
        <w:lang w:val="en-US" w:eastAsia="zh-CN" w:bidi="ar-SA"/>
      </w:rPr>
    </w:rPrDefault>
    <w:pPrDefault>
      <w:pPr>
        <w:spacing w:line="40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272D"/>
    <w:pPr>
      <w:keepNext/>
      <w:keepLines/>
      <w:spacing w:beforeLines="100" w:before="100" w:afterLines="100" w:after="100"/>
      <w:contextualSpacing/>
      <w:outlineLvl w:val="0"/>
    </w:pPr>
    <w:rPr>
      <w:b/>
      <w:bCs/>
      <w:kern w:val="44"/>
      <w:sz w:val="30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9272D"/>
    <w:pPr>
      <w:keepNext/>
      <w:keepLines/>
      <w:spacing w:beforeLines="100" w:before="100" w:afterLines="100" w:after="100"/>
      <w:contextualSpacing/>
      <w:outlineLvl w:val="1"/>
    </w:pPr>
    <w:rPr>
      <w:rFonts w:asciiTheme="majorHAnsi" w:eastAsia="黑体" w:hAnsiTheme="majorHAnsi" w:cstheme="majorBidi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9272D"/>
    <w:rPr>
      <w:b/>
      <w:bCs/>
      <w:kern w:val="44"/>
      <w:sz w:val="30"/>
      <w:szCs w:val="44"/>
    </w:rPr>
  </w:style>
  <w:style w:type="character" w:customStyle="1" w:styleId="20">
    <w:name w:val="标题 2 字符"/>
    <w:basedOn w:val="a0"/>
    <w:link w:val="2"/>
    <w:uiPriority w:val="9"/>
    <w:rsid w:val="0079272D"/>
    <w:rPr>
      <w:rFonts w:asciiTheme="majorHAnsi" w:eastAsia="黑体" w:hAnsiTheme="majorHAnsi" w:cstheme="majorBidi"/>
      <w:b/>
      <w:bCs/>
      <w:sz w:val="28"/>
      <w:szCs w:val="32"/>
    </w:rPr>
  </w:style>
  <w:style w:type="paragraph" w:styleId="a3">
    <w:name w:val="List Paragraph"/>
    <w:basedOn w:val="a"/>
    <w:uiPriority w:val="34"/>
    <w:qFormat/>
    <w:rsid w:val="005D0285"/>
    <w:pPr>
      <w:ind w:firstLineChars="200" w:firstLine="420"/>
    </w:pPr>
  </w:style>
  <w:style w:type="paragraph" w:styleId="a4">
    <w:name w:val="No Spacing"/>
    <w:uiPriority w:val="1"/>
    <w:qFormat/>
    <w:rsid w:val="00A70B6B"/>
    <w:pPr>
      <w:spacing w:line="240" w:lineRule="auto"/>
    </w:pPr>
  </w:style>
  <w:style w:type="paragraph" w:styleId="a5">
    <w:name w:val="header"/>
    <w:basedOn w:val="a"/>
    <w:link w:val="a6"/>
    <w:uiPriority w:val="99"/>
    <w:unhideWhenUsed/>
    <w:rsid w:val="001C766C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</w:rPr>
  </w:style>
  <w:style w:type="character" w:customStyle="1" w:styleId="a6">
    <w:name w:val="页眉 字符"/>
    <w:basedOn w:val="a0"/>
    <w:link w:val="a5"/>
    <w:uiPriority w:val="99"/>
    <w:rsid w:val="001C766C"/>
    <w:rPr>
      <w:sz w:val="18"/>
    </w:rPr>
  </w:style>
  <w:style w:type="paragraph" w:styleId="a7">
    <w:name w:val="footer"/>
    <w:basedOn w:val="a"/>
    <w:link w:val="a8"/>
    <w:uiPriority w:val="99"/>
    <w:unhideWhenUsed/>
    <w:rsid w:val="001C766C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</w:rPr>
  </w:style>
  <w:style w:type="character" w:customStyle="1" w:styleId="a8">
    <w:name w:val="页脚 字符"/>
    <w:basedOn w:val="a0"/>
    <w:link w:val="a7"/>
    <w:uiPriority w:val="99"/>
    <w:rsid w:val="001C766C"/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733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420</Words>
  <Characters>2400</Characters>
  <Application>Microsoft Office Word</Application>
  <DocSecurity>0</DocSecurity>
  <Lines>20</Lines>
  <Paragraphs>5</Paragraphs>
  <ScaleCrop>false</ScaleCrop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sixuan_ye@outlook.com</dc:creator>
  <cp:keywords/>
  <dc:description/>
  <cp:lastModifiedBy>sixuan_ye@outlook.com</cp:lastModifiedBy>
  <cp:revision>18</cp:revision>
  <dcterms:created xsi:type="dcterms:W3CDTF">2024-09-06T10:24:00Z</dcterms:created>
  <dcterms:modified xsi:type="dcterms:W3CDTF">2024-09-08T06:10:00Z</dcterms:modified>
</cp:coreProperties>
</file>